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8D" w:rsidRDefault="00EB18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188D" w:rsidRDefault="00EB188D">
      <w:pPr>
        <w:pStyle w:val="ConsPlusNormal"/>
        <w:jc w:val="both"/>
        <w:outlineLvl w:val="0"/>
      </w:pPr>
    </w:p>
    <w:p w:rsidR="00EB188D" w:rsidRDefault="00EB188D">
      <w:pPr>
        <w:pStyle w:val="ConsPlusNormal"/>
        <w:outlineLvl w:val="0"/>
      </w:pPr>
      <w:r>
        <w:t>Зарегистрировано в Минюсте России 27 августа 2020 г. N 59525</w:t>
      </w:r>
    </w:p>
    <w:p w:rsidR="00EB188D" w:rsidRDefault="00EB18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</w:pPr>
      <w:r>
        <w:t>МИНИСТЕРСТВО НАУКИ И ВЫСШЕГО ОБРАЗОВАНИЯ</w:t>
      </w:r>
    </w:p>
    <w:p w:rsidR="00EB188D" w:rsidRDefault="00EB188D">
      <w:pPr>
        <w:pStyle w:val="ConsPlusTitle"/>
        <w:jc w:val="center"/>
      </w:pPr>
      <w:r>
        <w:t>РОССИЙСКОЙ ФЕДЕРАЦИИ</w:t>
      </w:r>
    </w:p>
    <w:p w:rsidR="00EB188D" w:rsidRDefault="00EB188D">
      <w:pPr>
        <w:pStyle w:val="ConsPlusTitle"/>
        <w:jc w:val="center"/>
      </w:pPr>
    </w:p>
    <w:p w:rsidR="00EB188D" w:rsidRDefault="00EB188D">
      <w:pPr>
        <w:pStyle w:val="ConsPlusTitle"/>
        <w:jc w:val="center"/>
      </w:pPr>
      <w:r>
        <w:t>ПРИКАЗ</w:t>
      </w:r>
    </w:p>
    <w:p w:rsidR="00EB188D" w:rsidRDefault="00EB188D">
      <w:pPr>
        <w:pStyle w:val="ConsPlusTitle"/>
        <w:jc w:val="center"/>
      </w:pPr>
      <w:r>
        <w:t>от 14 августа 2020 г. N 1025</w:t>
      </w:r>
    </w:p>
    <w:p w:rsidR="00EB188D" w:rsidRDefault="00EB188D">
      <w:pPr>
        <w:pStyle w:val="ConsPlusTitle"/>
        <w:jc w:val="center"/>
      </w:pPr>
    </w:p>
    <w:p w:rsidR="00EB188D" w:rsidRDefault="00EB188D">
      <w:pPr>
        <w:pStyle w:val="ConsPlusTitle"/>
        <w:jc w:val="center"/>
      </w:pPr>
      <w:r>
        <w:t>ОБ УТВЕРЖДЕНИИ</w:t>
      </w:r>
    </w:p>
    <w:p w:rsidR="00EB188D" w:rsidRDefault="00EB188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B188D" w:rsidRDefault="00EB188D">
      <w:pPr>
        <w:pStyle w:val="ConsPlusTitle"/>
        <w:jc w:val="center"/>
      </w:pPr>
      <w:r>
        <w:t>ВЫСШЕГО ОБРАЗОВАНИЯ - МАГИСТРАТУРА ПО НАПРАВЛЕНИЮ</w:t>
      </w:r>
    </w:p>
    <w:p w:rsidR="00EB188D" w:rsidRDefault="00EB188D">
      <w:pPr>
        <w:pStyle w:val="ConsPlusTitle"/>
        <w:jc w:val="center"/>
      </w:pPr>
      <w:r>
        <w:t>ПОДГОТОВКИ 15.04.01 МАШИНОСТРОЕНИЕ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15.04.01 Машиностроение (далее - стандарт).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B188D" w:rsidRDefault="00EB1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1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8D" w:rsidRDefault="00EB1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8D" w:rsidRDefault="00EB1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88D" w:rsidRDefault="00EB188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B188D" w:rsidRDefault="00EB188D">
            <w:pPr>
              <w:pStyle w:val="ConsPlusNormal"/>
              <w:jc w:val="both"/>
            </w:pPr>
            <w:r>
              <w:rPr>
                <w:color w:val="392C69"/>
              </w:rPr>
              <w:t>Текст документа приведен в соответствии с официальным источником.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88D" w:rsidRDefault="00EB188D">
            <w:pPr>
              <w:pStyle w:val="ConsPlusNormal"/>
            </w:pPr>
          </w:p>
        </w:tc>
      </w:tr>
    </w:tbl>
    <w:p w:rsidR="00EB188D" w:rsidRDefault="00EB188D">
      <w:pPr>
        <w:pStyle w:val="ConsPlusNormal"/>
        <w:spacing w:before="28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15.04.01 Машиностроение (уровень магистратуры), утвержденным приказом Министерства образования и науки Российской Федерации от 21 ноября 2014 г. N 1504 (зарегистрирован Министерством юстиции Российской Федерации 15 декабря 2014 г., регистрационный N 35179), с изменениями, внесенными приказами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 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right"/>
      </w:pPr>
      <w:r>
        <w:t>Врио Министра</w:t>
      </w:r>
    </w:p>
    <w:p w:rsidR="00EB188D" w:rsidRDefault="00EB188D">
      <w:pPr>
        <w:pStyle w:val="ConsPlusNormal"/>
        <w:jc w:val="right"/>
      </w:pPr>
      <w:r>
        <w:lastRenderedPageBreak/>
        <w:t>А.В.НАРУКАВНИКОВ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right"/>
        <w:outlineLvl w:val="0"/>
      </w:pPr>
      <w:r>
        <w:t>Приложение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right"/>
      </w:pPr>
      <w:r>
        <w:t>Утвержден</w:t>
      </w:r>
    </w:p>
    <w:p w:rsidR="00EB188D" w:rsidRDefault="00EB188D">
      <w:pPr>
        <w:pStyle w:val="ConsPlusNormal"/>
        <w:jc w:val="right"/>
      </w:pPr>
      <w:r>
        <w:t>приказом Министерства науки</w:t>
      </w:r>
    </w:p>
    <w:p w:rsidR="00EB188D" w:rsidRDefault="00EB188D">
      <w:pPr>
        <w:pStyle w:val="ConsPlusNormal"/>
        <w:jc w:val="right"/>
      </w:pPr>
      <w:r>
        <w:t>и высшего образования</w:t>
      </w:r>
    </w:p>
    <w:p w:rsidR="00EB188D" w:rsidRDefault="00EB188D">
      <w:pPr>
        <w:pStyle w:val="ConsPlusNormal"/>
        <w:jc w:val="right"/>
      </w:pPr>
      <w:r>
        <w:t>Российской Федерации</w:t>
      </w:r>
    </w:p>
    <w:p w:rsidR="00EB188D" w:rsidRDefault="00EB188D">
      <w:pPr>
        <w:pStyle w:val="ConsPlusNormal"/>
        <w:jc w:val="right"/>
      </w:pPr>
      <w:r>
        <w:t>от 14 августа 2020 г. N 1025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EB188D" w:rsidRDefault="00EB188D">
      <w:pPr>
        <w:pStyle w:val="ConsPlusTitle"/>
        <w:jc w:val="center"/>
      </w:pPr>
      <w:r>
        <w:t>ВЫСШЕГО ОБРАЗОВАНИЯ - МАГИСТРАТУРА ПО НАПРАВЛЕНИЮ</w:t>
      </w:r>
    </w:p>
    <w:p w:rsidR="00EB188D" w:rsidRDefault="00EB188D">
      <w:pPr>
        <w:pStyle w:val="ConsPlusTitle"/>
        <w:jc w:val="center"/>
      </w:pPr>
      <w:r>
        <w:t>ПОДГОТОВКИ 15.04.01 МАШИНОСТРОЕНИЕ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  <w:outlineLvl w:val="1"/>
      </w:pPr>
      <w:r>
        <w:t>I. Общие положения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15.04.01 Машиностроение (далее соответственно - программа магистратуры, направление подготовки).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bookmarkStart w:id="1" w:name="P57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B188D" w:rsidRDefault="00EB188D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>
        <w:r>
          <w:rPr>
            <w:color w:val="0000FF"/>
          </w:rPr>
          <w:t>пунктами 1.8</w:t>
        </w:r>
      </w:hyperlink>
      <w:r>
        <w:t xml:space="preserve"> и </w:t>
      </w:r>
      <w:hyperlink w:anchor="P61">
        <w:r>
          <w:rPr>
            <w:color w:val="0000FF"/>
          </w:rPr>
          <w:t>1.9</w:t>
        </w:r>
      </w:hyperlink>
      <w:r>
        <w:t xml:space="preserve"> ФГОС ВО: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B188D" w:rsidRDefault="00EB188D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</w:t>
      </w:r>
      <w:r>
        <w:lastRenderedPageBreak/>
        <w:t>профессионального образования, высшего образования, дополнительных профессиональных программ; научно-исследовательских и проектно-конструкторских разработок);</w:t>
      </w:r>
    </w:p>
    <w:p w:rsidR="00EB188D" w:rsidRDefault="00EB188D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проектирования заготовительного производства; проектирования механосборочного производства; проектирования механообрабатывающего производства; исследования и проектирования гибкого автоматизированного производства деталей и узлов машин и оборудования);</w:t>
      </w:r>
    </w:p>
    <w:p w:rsidR="00EB188D" w:rsidRDefault="00EB188D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проектирования и освоения новой технологической оснастки, средств механизации и автоматизации технологических процессов машиностроения; разработки и освоения новых технологий, средств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B188D" w:rsidRDefault="00EB188D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проектно-конструкторский.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3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B188D" w:rsidRDefault="00EB188D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B188D" w:rsidRDefault="00EB188D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EB188D" w:rsidRDefault="00EB188D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right"/>
      </w:pPr>
      <w:r>
        <w:t>Таблица</w:t>
      </w:r>
    </w:p>
    <w:p w:rsidR="00EB188D" w:rsidRDefault="00EB1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912"/>
        <w:gridCol w:w="3572"/>
      </w:tblGrid>
      <w:tr w:rsidR="00EB188D">
        <w:tc>
          <w:tcPr>
            <w:tcW w:w="5499" w:type="dxa"/>
            <w:gridSpan w:val="2"/>
          </w:tcPr>
          <w:p w:rsidR="00EB188D" w:rsidRDefault="00EB188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EB188D" w:rsidRDefault="00EB188D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B188D">
        <w:tc>
          <w:tcPr>
            <w:tcW w:w="1587" w:type="dxa"/>
          </w:tcPr>
          <w:p w:rsidR="00EB188D" w:rsidRDefault="00EB188D">
            <w:pPr>
              <w:pStyle w:val="ConsPlusNormal"/>
              <w:ind w:left="283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3912" w:type="dxa"/>
            <w:vAlign w:val="center"/>
          </w:tcPr>
          <w:p w:rsidR="00EB188D" w:rsidRDefault="00EB188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EB188D">
        <w:tc>
          <w:tcPr>
            <w:tcW w:w="1587" w:type="dxa"/>
          </w:tcPr>
          <w:p w:rsidR="00EB188D" w:rsidRDefault="00EB188D">
            <w:pPr>
              <w:pStyle w:val="ConsPlusNormal"/>
              <w:ind w:left="283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3912" w:type="dxa"/>
            <w:vAlign w:val="center"/>
          </w:tcPr>
          <w:p w:rsidR="00EB188D" w:rsidRDefault="00EB188D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EB188D">
        <w:tc>
          <w:tcPr>
            <w:tcW w:w="1587" w:type="dxa"/>
          </w:tcPr>
          <w:p w:rsidR="00EB188D" w:rsidRDefault="00EB188D">
            <w:pPr>
              <w:pStyle w:val="ConsPlusNormal"/>
              <w:ind w:left="283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3912" w:type="dxa"/>
            <w:vAlign w:val="center"/>
          </w:tcPr>
          <w:p w:rsidR="00EB188D" w:rsidRDefault="00EB18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B188D">
        <w:tc>
          <w:tcPr>
            <w:tcW w:w="5499" w:type="dxa"/>
            <w:gridSpan w:val="2"/>
          </w:tcPr>
          <w:p w:rsidR="00EB188D" w:rsidRDefault="00EB188D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72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120</w:t>
            </w:r>
          </w:p>
        </w:tc>
      </w:tr>
    </w:tbl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выполнение, подготовка к процедуре защиты и защита выпускной квалификационной </w:t>
      </w:r>
      <w:r>
        <w:lastRenderedPageBreak/>
        <w:t>работы.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B188D" w:rsidRDefault="00EB188D">
      <w:pPr>
        <w:pStyle w:val="ConsPlusTitle"/>
        <w:jc w:val="center"/>
      </w:pPr>
      <w:r>
        <w:t>программы магистратуры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B188D" w:rsidRDefault="00EB1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EB188D">
        <w:tc>
          <w:tcPr>
            <w:tcW w:w="2438" w:type="dxa"/>
          </w:tcPr>
          <w:p w:rsidR="00EB188D" w:rsidRDefault="00EB188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EB188D" w:rsidRDefault="00EB188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B188D">
        <w:tc>
          <w:tcPr>
            <w:tcW w:w="2438" w:type="dxa"/>
            <w:vAlign w:val="center"/>
          </w:tcPr>
          <w:p w:rsidR="00EB188D" w:rsidRDefault="00EB188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EB188D" w:rsidRDefault="00EB188D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B188D">
        <w:tc>
          <w:tcPr>
            <w:tcW w:w="2438" w:type="dxa"/>
            <w:vAlign w:val="center"/>
          </w:tcPr>
          <w:p w:rsidR="00EB188D" w:rsidRDefault="00EB188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EB188D" w:rsidRDefault="00EB188D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B188D">
        <w:tc>
          <w:tcPr>
            <w:tcW w:w="2438" w:type="dxa"/>
            <w:vAlign w:val="center"/>
          </w:tcPr>
          <w:p w:rsidR="00EB188D" w:rsidRDefault="00EB188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EB188D" w:rsidRDefault="00EB188D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B188D">
        <w:tc>
          <w:tcPr>
            <w:tcW w:w="2438" w:type="dxa"/>
            <w:vAlign w:val="center"/>
          </w:tcPr>
          <w:p w:rsidR="00EB188D" w:rsidRDefault="00EB188D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EB188D" w:rsidRDefault="00EB188D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B188D">
        <w:tc>
          <w:tcPr>
            <w:tcW w:w="2438" w:type="dxa"/>
            <w:vAlign w:val="center"/>
          </w:tcPr>
          <w:p w:rsidR="00EB188D" w:rsidRDefault="00EB188D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633" w:type="dxa"/>
          </w:tcPr>
          <w:p w:rsidR="00EB188D" w:rsidRDefault="00EB188D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B188D">
        <w:tc>
          <w:tcPr>
            <w:tcW w:w="2438" w:type="dxa"/>
            <w:vAlign w:val="center"/>
          </w:tcPr>
          <w:p w:rsidR="00EB188D" w:rsidRDefault="00EB188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EB188D" w:rsidRDefault="00EB188D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ОПК-1. Способен формулировать цели и задачи исследования, выявлять приоритеты решения задач, выбирать и создавать критерии оценки результатов исследования;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ОПК-2. Способен осуществлять экспертизу технической документации при реализации технологического процесса;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ОПК-3. Способен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 и их элементов,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ОПК-4. Способен разрабатывать методические и нормативные документы при реализации разработанных проектов и программ, направленных на создание узлов и деталей машин;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ОПК-5. 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ОПК-6. Способен использовать современные информационно-коммуникационные технологии, глобальные информационные ресурсы в научно-исследовательской деятельности;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ОПК-7. Способен проводить маркетинговые исследования и подготавливать бизнес-планы выпуска и реализации перспективных и конкурентоспособных изделий в области машиностроения;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ОПК-8. Способен подготавливать отзывы и заключения на проекты стандартов, рационализаторские предложения и изобретения в области машиностроения;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ОПК-9. Способен подготавливать научно-технические отчеты, обзоры, публикации по результатам выполненных исследований в области машиностроения;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ОПК-10. Способен разрабатывать методы стандартных испытаний по определению физико-механических свойств и технологических показателей используемых материалов и готовых изделий;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ОПК-11. Способен организовывать и осуществлять профессиональную подготовку по образовательным программам в области машиностроения;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ОПК-12. Способен разрабатывать и применять алгоритмы и современные цифровые системы автоматизированного проектирования деталей и узлов машин и оборудования различной сложности на современном машиностроительном предприятии.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</w:t>
      </w:r>
      <w:r>
        <w:lastRenderedPageBreak/>
        <w:t>(при наличии).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4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</w:t>
      </w:r>
      <w:r>
        <w:lastRenderedPageBreak/>
        <w:t>практикам должна обеспечивать формирование у выпускника всех компетенций, установленных программой магистратуры.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lastRenderedPageBreak/>
        <w:t xml:space="preserve">&lt;5&gt;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</w:t>
      </w:r>
      <w: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B188D" w:rsidRDefault="00EB188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right"/>
        <w:outlineLvl w:val="1"/>
      </w:pPr>
      <w:r>
        <w:t>Приложение</w:t>
      </w:r>
    </w:p>
    <w:p w:rsidR="00EB188D" w:rsidRDefault="00EB188D">
      <w:pPr>
        <w:pStyle w:val="ConsPlusNormal"/>
        <w:jc w:val="right"/>
      </w:pPr>
      <w:r>
        <w:t>к федеральному государственному</w:t>
      </w:r>
    </w:p>
    <w:p w:rsidR="00EB188D" w:rsidRDefault="00EB188D">
      <w:pPr>
        <w:pStyle w:val="ConsPlusNormal"/>
        <w:jc w:val="right"/>
      </w:pPr>
      <w:r>
        <w:t>образовательному стандарту высшего</w:t>
      </w:r>
    </w:p>
    <w:p w:rsidR="00EB188D" w:rsidRDefault="00EB188D">
      <w:pPr>
        <w:pStyle w:val="ConsPlusNormal"/>
        <w:jc w:val="right"/>
      </w:pPr>
      <w:r>
        <w:t>образования - магистратура</w:t>
      </w:r>
    </w:p>
    <w:p w:rsidR="00EB188D" w:rsidRDefault="00EB188D">
      <w:pPr>
        <w:pStyle w:val="ConsPlusNormal"/>
        <w:jc w:val="right"/>
      </w:pPr>
      <w:r>
        <w:t>по направлению подготовки 15.04.01</w:t>
      </w:r>
    </w:p>
    <w:p w:rsidR="00EB188D" w:rsidRDefault="00EB188D">
      <w:pPr>
        <w:pStyle w:val="ConsPlusNormal"/>
        <w:jc w:val="right"/>
      </w:pPr>
      <w:r>
        <w:t>Машиностроение, утвержденному</w:t>
      </w:r>
    </w:p>
    <w:p w:rsidR="00EB188D" w:rsidRDefault="00EB188D">
      <w:pPr>
        <w:pStyle w:val="ConsPlusNormal"/>
        <w:jc w:val="right"/>
      </w:pPr>
      <w:r>
        <w:t>приказом Министерства науки</w:t>
      </w:r>
    </w:p>
    <w:p w:rsidR="00EB188D" w:rsidRDefault="00EB188D">
      <w:pPr>
        <w:pStyle w:val="ConsPlusNormal"/>
        <w:jc w:val="right"/>
      </w:pPr>
      <w:r>
        <w:t>и высшего образования</w:t>
      </w:r>
    </w:p>
    <w:p w:rsidR="00EB188D" w:rsidRDefault="00EB188D">
      <w:pPr>
        <w:pStyle w:val="ConsPlusNormal"/>
        <w:jc w:val="right"/>
      </w:pPr>
      <w:r>
        <w:t>Российской Федерации</w:t>
      </w:r>
    </w:p>
    <w:p w:rsidR="00EB188D" w:rsidRDefault="00EB188D">
      <w:pPr>
        <w:pStyle w:val="ConsPlusNormal"/>
        <w:jc w:val="right"/>
      </w:pPr>
      <w:r>
        <w:t>от 14 августа 2020 г. N 1025</w:t>
      </w: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Title"/>
        <w:jc w:val="center"/>
      </w:pPr>
      <w:bookmarkStart w:id="9" w:name="P250"/>
      <w:bookmarkEnd w:id="9"/>
      <w:r>
        <w:t>ПЕРЕЧЕНЬ</w:t>
      </w:r>
    </w:p>
    <w:p w:rsidR="00EB188D" w:rsidRDefault="00EB188D">
      <w:pPr>
        <w:pStyle w:val="ConsPlusTitle"/>
        <w:jc w:val="center"/>
      </w:pPr>
      <w:r>
        <w:t>ПРОФЕССИОНАЛЬНЫХ СТАНДАРТОВ, СООТВЕТСТВУЮЩИХ</w:t>
      </w:r>
    </w:p>
    <w:p w:rsidR="00EB188D" w:rsidRDefault="00EB188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B188D" w:rsidRDefault="00EB188D">
      <w:pPr>
        <w:pStyle w:val="ConsPlusTitle"/>
        <w:jc w:val="center"/>
      </w:pPr>
      <w:r>
        <w:t>ПРОГРАММУ МАГИСТРАТУРЫ ПО НАПРАВЛЕНИЮ ПОДГОТОВКИ</w:t>
      </w:r>
    </w:p>
    <w:p w:rsidR="00EB188D" w:rsidRDefault="00EB188D">
      <w:pPr>
        <w:pStyle w:val="ConsPlusTitle"/>
        <w:jc w:val="center"/>
      </w:pPr>
      <w:r>
        <w:t>15.04.01 МАШИНОСТРОЕНИЕ</w:t>
      </w:r>
    </w:p>
    <w:p w:rsidR="00EB188D" w:rsidRDefault="00EB1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84"/>
        <w:gridCol w:w="6350"/>
      </w:tblGrid>
      <w:tr w:rsidR="00EB188D">
        <w:tc>
          <w:tcPr>
            <w:tcW w:w="737" w:type="dxa"/>
          </w:tcPr>
          <w:p w:rsidR="00EB188D" w:rsidRDefault="00EB18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EB188D" w:rsidRDefault="00EB188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B188D">
        <w:tc>
          <w:tcPr>
            <w:tcW w:w="9071" w:type="dxa"/>
            <w:gridSpan w:val="3"/>
            <w:vAlign w:val="center"/>
          </w:tcPr>
          <w:p w:rsidR="00EB188D" w:rsidRDefault="00EB188D">
            <w:pPr>
              <w:pStyle w:val="ConsPlusNormal"/>
              <w:jc w:val="center"/>
              <w:outlineLvl w:val="2"/>
            </w:pPr>
            <w:r>
              <w:t>28 Производство машин и оборудования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технологических процессов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</w:t>
            </w:r>
            <w:r>
              <w:lastRenderedPageBreak/>
              <w:t>Федерации 14 августа 2019 г., регистрационный N 55600)</w:t>
            </w:r>
          </w:p>
        </w:tc>
      </w:tr>
      <w:tr w:rsidR="00EB188D">
        <w:tc>
          <w:tcPr>
            <w:tcW w:w="9071" w:type="dxa"/>
            <w:gridSpan w:val="3"/>
            <w:vAlign w:val="center"/>
          </w:tcPr>
          <w:p w:rsidR="00EB188D" w:rsidRDefault="00EB188D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40.013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13 марта 2017 г. N 277н (зарегистрирован Министерством юстиции Российской Федерации 4 мая 2017 г., регистрационный N 46603)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40.014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технологиям заготовительного производства", утвержденный приказом Министерства труда и социальной защиты Российской Федерации от 11 апреля 2014 г. N 221н (зарегистрирован Министерством юстиции Российской Федерации 4 июня 2014 г., регистрационный N 32567),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40.031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технологиям механообрабатывающего производства в машиностроении", утвержденный приказом Министерства труда и социальной защиты Российской Федерации от 13 марта 2017 г. N 274н (зарегистрирован Министерством юстиции Российской Федерации 10 мая 2017 г., регистрационный N 46666)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11 декабря 2014 г. N 1025н (зарегистрирован Министерством юстиции Российской Федерации 29 декабря 2014 г., регистрационный N 35480)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</w:t>
            </w:r>
            <w:r>
              <w:lastRenderedPageBreak/>
              <w:t>Федерации 29 июля 2019 г., регистрационный N 55441)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40.089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автоматизированной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2 июля 2019 г. N 463н (зарегистрирован Министерством юстиции Российской Федерации 26 июля 2019 г., регистрационный N 55408)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40.090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качеству механосборочного производства", утвержденный приказом Министерства труда и социальной защиты Российской Федерации от 15 июля 2019 г. N 497н (зарегистрирован Министерством юстиции Российской Федерации 8 августа 2019 г., регистрационный N 55524)</w:t>
            </w:r>
          </w:p>
        </w:tc>
      </w:tr>
      <w:tr w:rsidR="00EB188D">
        <w:tc>
          <w:tcPr>
            <w:tcW w:w="737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EB188D" w:rsidRDefault="00EB188D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6350" w:type="dxa"/>
          </w:tcPr>
          <w:p w:rsidR="00EB188D" w:rsidRDefault="00EB188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</w:tbl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jc w:val="both"/>
      </w:pPr>
    </w:p>
    <w:p w:rsidR="00EB188D" w:rsidRDefault="00EB18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5B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8D"/>
    <w:rsid w:val="00B95E9A"/>
    <w:rsid w:val="00EB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BF5B-FC36-4C6C-A65F-BBCA0D67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1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1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93980&amp;dst=100003" TargetMode="External"/><Relationship Id="rId18" Type="http://schemas.openxmlformats.org/officeDocument/2006/relationships/hyperlink" Target="https://login.consultant.ru/link/?req=doc&amp;base=LAW&amp;n=482686" TargetMode="External"/><Relationship Id="rId26" Type="http://schemas.openxmlformats.org/officeDocument/2006/relationships/hyperlink" Target="https://login.consultant.ru/link/?req=doc&amp;base=LAW&amp;n=174549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6541&amp;dst=100010" TargetMode="External"/><Relationship Id="rId7" Type="http://schemas.openxmlformats.org/officeDocument/2006/relationships/hyperlink" Target="https://login.consultant.ru/link/?req=doc&amp;base=LAW&amp;n=198475&amp;dst=100014" TargetMode="External"/><Relationship Id="rId12" Type="http://schemas.openxmlformats.org/officeDocument/2006/relationships/hyperlink" Target="https://login.consultant.ru/link/?req=doc&amp;base=LAW&amp;n=214720&amp;dst=100116" TargetMode="External"/><Relationship Id="rId17" Type="http://schemas.openxmlformats.org/officeDocument/2006/relationships/hyperlink" Target="https://login.consultant.ru/link/?req=doc&amp;base=LAW&amp;n=483355" TargetMode="External"/><Relationship Id="rId25" Type="http://schemas.openxmlformats.org/officeDocument/2006/relationships/hyperlink" Target="https://login.consultant.ru/link/?req=doc&amp;base=LAW&amp;n=330453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6970" TargetMode="External"/><Relationship Id="rId20" Type="http://schemas.openxmlformats.org/officeDocument/2006/relationships/hyperlink" Target="https://login.consultant.ru/link/?req=doc&amp;base=LAW&amp;n=331764&amp;dst=100010" TargetMode="External"/><Relationship Id="rId29" Type="http://schemas.openxmlformats.org/officeDocument/2006/relationships/hyperlink" Target="https://login.consultant.ru/link/?req=doc&amp;base=LAW&amp;n=331337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104" TargetMode="External"/><Relationship Id="rId24" Type="http://schemas.openxmlformats.org/officeDocument/2006/relationships/hyperlink" Target="https://login.consultant.ru/link/?req=doc&amp;base=LAW&amp;n=216637&amp;dst=1000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006" TargetMode="External"/><Relationship Id="rId23" Type="http://schemas.openxmlformats.org/officeDocument/2006/relationships/hyperlink" Target="https://login.consultant.ru/link/?req=doc&amp;base=LAW&amp;n=216636&amp;dst=100010" TargetMode="External"/><Relationship Id="rId28" Type="http://schemas.openxmlformats.org/officeDocument/2006/relationships/hyperlink" Target="https://login.consultant.ru/link/?req=doc&amp;base=LAW&amp;n=330339&amp;dst=100010" TargetMode="Externa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497890&amp;dst=10094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://profstandart.rosmintrud.ru" TargetMode="External"/><Relationship Id="rId22" Type="http://schemas.openxmlformats.org/officeDocument/2006/relationships/hyperlink" Target="https://login.consultant.ru/link/?req=doc&amp;base=LAW&amp;n=211517&amp;dst=100009" TargetMode="External"/><Relationship Id="rId27" Type="http://schemas.openxmlformats.org/officeDocument/2006/relationships/hyperlink" Target="https://login.consultant.ru/link/?req=doc&amp;base=LAW&amp;n=330721&amp;dst=100011" TargetMode="External"/><Relationship Id="rId30" Type="http://schemas.openxmlformats.org/officeDocument/2006/relationships/hyperlink" Target="https://login.consultant.ru/link/?req=doc&amp;base=LAW&amp;n=29797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5694</Words>
  <Characters>32460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2025-03-24T08:03:00Z</dcterms:created>
  <dcterms:modified xsi:type="dcterms:W3CDTF">2025-03-24T08:04:00Z</dcterms:modified>
</cp:coreProperties>
</file>